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BB" w:rsidRDefault="00C725BB" w:rsidP="00C725BB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Cs/>
          <w:i/>
          <w:sz w:val="18"/>
          <w:szCs w:val="18"/>
          <w:lang w:eastAsia="pl-PL"/>
        </w:rPr>
      </w:pPr>
    </w:p>
    <w:p w:rsidR="00C725BB" w:rsidRDefault="00C725BB" w:rsidP="00C725BB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Cs/>
          <w:i/>
          <w:sz w:val="18"/>
          <w:szCs w:val="18"/>
          <w:lang w:eastAsia="pl-PL"/>
        </w:rPr>
      </w:pPr>
    </w:p>
    <w:p w:rsidR="00C725BB" w:rsidRPr="00C725BB" w:rsidRDefault="00C725BB" w:rsidP="00C725BB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Cs/>
          <w:i/>
          <w:sz w:val="18"/>
          <w:szCs w:val="18"/>
          <w:lang w:eastAsia="pl-PL"/>
        </w:rPr>
      </w:pPr>
      <w:r w:rsidRPr="00C725BB">
        <w:rPr>
          <w:rFonts w:ascii="Segoe UI" w:eastAsia="Times New Roman" w:hAnsi="Segoe UI" w:cs="Segoe UI"/>
          <w:bCs/>
          <w:i/>
          <w:sz w:val="18"/>
          <w:szCs w:val="18"/>
          <w:lang w:eastAsia="pl-PL"/>
        </w:rPr>
        <w:t>Poznań, 11.02.2026</w:t>
      </w:r>
    </w:p>
    <w:p w:rsidR="00C725BB" w:rsidRPr="005A7817" w:rsidRDefault="00C725BB" w:rsidP="00C725BB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</w:pPr>
      <w:r w:rsidRPr="00C725BB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 xml:space="preserve">Program </w:t>
      </w:r>
      <w:r w:rsidRPr="005A7817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>MEBLE POLSKA 2026: e-commerce, eksport</w:t>
      </w:r>
      <w:r w:rsidRPr="00C725BB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 xml:space="preserve">, </w:t>
      </w:r>
      <w:r w:rsidRPr="005A7817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 xml:space="preserve">regulacje i </w:t>
      </w:r>
      <w:r w:rsidRPr="00C725BB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 xml:space="preserve">rozwój </w:t>
      </w:r>
      <w:r w:rsidRPr="005A7817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>kompetencj</w:t>
      </w:r>
      <w:r w:rsidRPr="00C725BB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>i</w:t>
      </w:r>
      <w:r w:rsidRPr="005A7817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 xml:space="preserve"> w centrum </w:t>
      </w:r>
      <w:r w:rsidRPr="00C725BB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>uwagi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5A7817">
        <w:rPr>
          <w:rFonts w:ascii="Segoe UI" w:eastAsia="Times New Roman" w:hAnsi="Segoe UI" w:cs="Segoe UI"/>
          <w:lang w:eastAsia="pl-PL"/>
        </w:rPr>
        <w:t xml:space="preserve">E-commerce, nowe regulacje unijne, ekspansja zagraniczna oraz rozwój kompetencji będą kluczowymi tematami programu </w:t>
      </w:r>
      <w:r>
        <w:rPr>
          <w:rFonts w:ascii="Segoe UI" w:eastAsia="Times New Roman" w:hAnsi="Segoe UI" w:cs="Segoe UI"/>
          <w:lang w:eastAsia="pl-PL"/>
        </w:rPr>
        <w:t>prelekcji</w:t>
      </w:r>
      <w:r w:rsidRPr="005A7817">
        <w:rPr>
          <w:rFonts w:ascii="Segoe UI" w:eastAsia="Times New Roman" w:hAnsi="Segoe UI" w:cs="Segoe UI"/>
          <w:lang w:eastAsia="pl-PL"/>
        </w:rPr>
        <w:t xml:space="preserve"> targów MEBLE POLSKA 2026, które odbędą się </w:t>
      </w:r>
      <w:r>
        <w:rPr>
          <w:rFonts w:ascii="Segoe UI" w:eastAsia="Times New Roman" w:hAnsi="Segoe UI" w:cs="Segoe UI"/>
          <w:lang w:eastAsia="pl-PL"/>
        </w:rPr>
        <w:t xml:space="preserve">w Poznaniu </w:t>
      </w:r>
      <w:r w:rsidRPr="005A7817">
        <w:rPr>
          <w:rFonts w:ascii="Segoe UI" w:eastAsia="Times New Roman" w:hAnsi="Segoe UI" w:cs="Segoe UI"/>
          <w:lang w:eastAsia="pl-PL"/>
        </w:rPr>
        <w:t>w dniach 24–26 lutego 2026 roku. Trzydniowy cykl prelekcji, debat i wykładów eksperckich zgromadzi specjalistów z obszaru sprzedaży, prawa, analityki rynkowej, finansów, edukacji branżowej oraz rozwoju osobistego, oferując uczestnikom praktyczną wiedzę odpowiadającą na aktualne wyzwania sektora meblarskiego.</w:t>
      </w:r>
    </w:p>
    <w:p w:rsidR="00C725BB" w:rsidRPr="005A7817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Pr="005A7817" w:rsidRDefault="00C725BB" w:rsidP="00C725BB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A7817">
        <w:rPr>
          <w:rFonts w:ascii="Segoe UI" w:eastAsia="Times New Roman" w:hAnsi="Segoe UI" w:cs="Segoe UI"/>
          <w:b/>
          <w:bCs/>
          <w:lang w:eastAsia="pl-PL"/>
        </w:rPr>
        <w:t>E-commerce i budowanie przewagi bez wojny cenowej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5A7817">
        <w:rPr>
          <w:rFonts w:ascii="Segoe UI" w:eastAsia="Times New Roman" w:hAnsi="Segoe UI" w:cs="Segoe UI"/>
          <w:lang w:eastAsia="pl-PL"/>
        </w:rPr>
        <w:t xml:space="preserve">Pierwszy dzień programu (24 lutego) poświęcony będzie przede wszystkim sprzedaży internetowej i budowaniu trwałej przewagi konkurencyjnej. O wyzwaniach związanych z </w:t>
      </w:r>
      <w:r w:rsidRPr="005A7817">
        <w:rPr>
          <w:rFonts w:ascii="Segoe UI" w:eastAsia="Times New Roman" w:hAnsi="Segoe UI" w:cs="Segoe UI"/>
          <w:b/>
          <w:lang w:eastAsia="pl-PL"/>
        </w:rPr>
        <w:t>konkurowaniem w e-commerce</w:t>
      </w:r>
      <w:r w:rsidRPr="005A7817">
        <w:rPr>
          <w:rFonts w:ascii="Segoe UI" w:eastAsia="Times New Roman" w:hAnsi="Segoe UI" w:cs="Segoe UI"/>
          <w:lang w:eastAsia="pl-PL"/>
        </w:rPr>
        <w:t xml:space="preserve"> bez konieczności ciągłego obniżania cen </w:t>
      </w:r>
      <w:r>
        <w:rPr>
          <w:rFonts w:ascii="Segoe UI" w:eastAsia="Times New Roman" w:hAnsi="Segoe UI" w:cs="Segoe UI"/>
          <w:lang w:eastAsia="pl-PL"/>
        </w:rPr>
        <w:t xml:space="preserve">mebli </w:t>
      </w:r>
      <w:r w:rsidRPr="005A7817">
        <w:rPr>
          <w:rFonts w:ascii="Segoe UI" w:eastAsia="Times New Roman" w:hAnsi="Segoe UI" w:cs="Segoe UI"/>
          <w:lang w:eastAsia="pl-PL"/>
        </w:rPr>
        <w:t xml:space="preserve">opowie Miłosz Nowakowski (Brandly360), wskazując na znaczenie silnych marek oraz umiejętnego komunikowania wartości </w:t>
      </w:r>
      <w:proofErr w:type="spellStart"/>
      <w:r w:rsidRPr="005A7817">
        <w:rPr>
          <w:rFonts w:ascii="Segoe UI" w:eastAsia="Times New Roman" w:hAnsi="Segoe UI" w:cs="Segoe UI"/>
          <w:lang w:eastAsia="pl-PL"/>
        </w:rPr>
        <w:t>premium</w:t>
      </w:r>
      <w:proofErr w:type="spellEnd"/>
      <w:r w:rsidRPr="005A7817">
        <w:rPr>
          <w:rFonts w:ascii="Segoe UI" w:eastAsia="Times New Roman" w:hAnsi="Segoe UI" w:cs="Segoe UI"/>
          <w:lang w:eastAsia="pl-PL"/>
        </w:rPr>
        <w:t xml:space="preserve"> na rynkach międzynarodowych.</w:t>
      </w:r>
    </w:p>
    <w:p w:rsidR="00C725BB" w:rsidRPr="005A7817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5A7817">
        <w:rPr>
          <w:rFonts w:ascii="Segoe UI" w:eastAsia="Times New Roman" w:hAnsi="Segoe UI" w:cs="Segoe UI"/>
          <w:lang w:eastAsia="pl-PL"/>
        </w:rPr>
        <w:t>Uzupełnieniem tego wątku będzie prelekcja dotycząca nowoczesnych narzędzi finansowania sprzedaży. Eksperci Grup</w:t>
      </w:r>
      <w:r>
        <w:rPr>
          <w:rFonts w:ascii="Segoe UI" w:eastAsia="Times New Roman" w:hAnsi="Segoe UI" w:cs="Segoe UI"/>
          <w:lang w:eastAsia="pl-PL"/>
        </w:rPr>
        <w:t>y Comperia.pl</w:t>
      </w:r>
      <w:r w:rsidRPr="005A7817">
        <w:rPr>
          <w:rFonts w:ascii="Segoe UI" w:eastAsia="Times New Roman" w:hAnsi="Segoe UI" w:cs="Segoe UI"/>
          <w:lang w:eastAsia="pl-PL"/>
        </w:rPr>
        <w:t xml:space="preserve"> pokażą, w jaki sposób </w:t>
      </w:r>
      <w:r w:rsidRPr="005A7817">
        <w:rPr>
          <w:rFonts w:ascii="Segoe UI" w:eastAsia="Times New Roman" w:hAnsi="Segoe UI" w:cs="Segoe UI"/>
          <w:b/>
          <w:lang w:eastAsia="pl-PL"/>
        </w:rPr>
        <w:t>elastyczne formy płatności</w:t>
      </w:r>
      <w:r w:rsidRPr="005A7817">
        <w:rPr>
          <w:rFonts w:ascii="Segoe UI" w:eastAsia="Times New Roman" w:hAnsi="Segoe UI" w:cs="Segoe UI"/>
          <w:lang w:eastAsia="pl-PL"/>
        </w:rPr>
        <w:t xml:space="preserve"> – w tym raty i płatności odroczone – mogą podnosić konwersję i wartość koszyka zakupowego bez stosowania rabatów, integrując sprzedaż offline i online w jeden spójny proces zakupowy.</w:t>
      </w:r>
    </w:p>
    <w:p w:rsidR="00C725BB" w:rsidRPr="005A7817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Pr="005A7817" w:rsidRDefault="00C725BB" w:rsidP="00C725BB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A7817">
        <w:rPr>
          <w:rFonts w:ascii="Segoe UI" w:eastAsia="Times New Roman" w:hAnsi="Segoe UI" w:cs="Segoe UI"/>
          <w:b/>
          <w:bCs/>
          <w:lang w:eastAsia="pl-PL"/>
        </w:rPr>
        <w:t>Nowe regulacje: GPSR, Cyfrowy Paszport Produktu i EUDR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5A7817">
        <w:rPr>
          <w:rFonts w:ascii="Segoe UI" w:eastAsia="Times New Roman" w:hAnsi="Segoe UI" w:cs="Segoe UI"/>
          <w:lang w:eastAsia="pl-PL"/>
        </w:rPr>
        <w:t xml:space="preserve">Istotnym elementem programu będą zagadnienia związane z bezpieczeństwem produktów i zgodnością z regulacjami. Rozporządzenie </w:t>
      </w:r>
      <w:r w:rsidRPr="005A7817">
        <w:rPr>
          <w:rFonts w:ascii="Segoe UI" w:eastAsia="Times New Roman" w:hAnsi="Segoe UI" w:cs="Segoe UI"/>
          <w:b/>
          <w:lang w:eastAsia="pl-PL"/>
        </w:rPr>
        <w:t>GPSR</w:t>
      </w:r>
      <w:r w:rsidRPr="005A7817">
        <w:rPr>
          <w:rFonts w:ascii="Segoe UI" w:eastAsia="Times New Roman" w:hAnsi="Segoe UI" w:cs="Segoe UI"/>
          <w:lang w:eastAsia="pl-PL"/>
        </w:rPr>
        <w:t xml:space="preserve">, obowiązujące od 13 grudnia 2024 roku, znacząco rozszerza zakres odpowiedzialności producentów i dystrybutorów. Podczas prelekcji mec. Anny Berendt </w:t>
      </w:r>
      <w:r>
        <w:rPr>
          <w:rFonts w:ascii="Segoe UI" w:eastAsia="Times New Roman" w:hAnsi="Segoe UI" w:cs="Segoe UI"/>
          <w:lang w:eastAsia="pl-PL"/>
        </w:rPr>
        <w:t>z Kancelarii</w:t>
      </w:r>
      <w:r w:rsidRPr="005A7817">
        <w:rPr>
          <w:rFonts w:ascii="Segoe UI" w:eastAsia="Times New Roman" w:hAnsi="Segoe UI" w:cs="Segoe UI"/>
          <w:lang w:eastAsia="pl-PL"/>
        </w:rPr>
        <w:t xml:space="preserve"> Radców Prawnych Pawlak Królikowski omówione zostaną praktyczne obowiązki wynikające z nowych przepisów oraz ryzyka związane z ich niespełnieniem – szczególnie istotne w kontekście pierwszych kontroli zapowiadanych na 2026 rok.</w:t>
      </w:r>
    </w:p>
    <w:p w:rsidR="00C725BB" w:rsidRPr="005A7817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5A7817">
        <w:rPr>
          <w:rFonts w:ascii="Segoe UI" w:eastAsia="Times New Roman" w:hAnsi="Segoe UI" w:cs="Segoe UI"/>
          <w:lang w:eastAsia="pl-PL"/>
        </w:rPr>
        <w:t xml:space="preserve">Temat regulacyjny zostanie rozwinięty również w kontekście </w:t>
      </w:r>
      <w:r w:rsidRPr="005A7817">
        <w:rPr>
          <w:rFonts w:ascii="Segoe UI" w:eastAsia="Times New Roman" w:hAnsi="Segoe UI" w:cs="Segoe UI"/>
          <w:b/>
          <w:lang w:eastAsia="pl-PL"/>
        </w:rPr>
        <w:t>Cyfrowego Paszportu Produktu</w:t>
      </w:r>
      <w:r w:rsidRPr="005A7817">
        <w:rPr>
          <w:rFonts w:ascii="Segoe UI" w:eastAsia="Times New Roman" w:hAnsi="Segoe UI" w:cs="Segoe UI"/>
          <w:lang w:eastAsia="pl-PL"/>
        </w:rPr>
        <w:t xml:space="preserve">, </w:t>
      </w:r>
      <w:r w:rsidRPr="005A7817">
        <w:rPr>
          <w:rFonts w:ascii="Segoe UI" w:eastAsia="Times New Roman" w:hAnsi="Segoe UI" w:cs="Segoe UI"/>
          <w:b/>
          <w:lang w:eastAsia="pl-PL"/>
        </w:rPr>
        <w:t>EUDR</w:t>
      </w:r>
      <w:r w:rsidRPr="005A7817">
        <w:rPr>
          <w:rFonts w:ascii="Segoe UI" w:eastAsia="Times New Roman" w:hAnsi="Segoe UI" w:cs="Segoe UI"/>
          <w:lang w:eastAsia="pl-PL"/>
        </w:rPr>
        <w:t xml:space="preserve"> oraz certyfikacji. </w:t>
      </w:r>
      <w:proofErr w:type="spellStart"/>
      <w:r>
        <w:rPr>
          <w:rFonts w:ascii="Segoe UI" w:eastAsia="Times New Roman" w:hAnsi="Segoe UI" w:cs="Segoe UI"/>
          <w:lang w:eastAsia="pl-PL"/>
        </w:rPr>
        <w:t>Swapan</w:t>
      </w:r>
      <w:proofErr w:type="spellEnd"/>
      <w:r>
        <w:rPr>
          <w:rFonts w:ascii="Segoe UI" w:eastAsia="Times New Roman" w:hAnsi="Segoe UI" w:cs="Segoe UI"/>
          <w:lang w:eastAsia="pl-PL"/>
        </w:rPr>
        <w:t xml:space="preserve"> </w:t>
      </w:r>
      <w:proofErr w:type="spellStart"/>
      <w:r>
        <w:rPr>
          <w:rFonts w:ascii="Segoe UI" w:eastAsia="Times New Roman" w:hAnsi="Segoe UI" w:cs="Segoe UI"/>
          <w:lang w:eastAsia="pl-PL"/>
        </w:rPr>
        <w:t>Chaudhuri</w:t>
      </w:r>
      <w:proofErr w:type="spellEnd"/>
      <w:r>
        <w:rPr>
          <w:rFonts w:ascii="Segoe UI" w:eastAsia="Times New Roman" w:hAnsi="Segoe UI" w:cs="Segoe UI"/>
          <w:lang w:eastAsia="pl-PL"/>
        </w:rPr>
        <w:t xml:space="preserve"> z firmy</w:t>
      </w:r>
      <w:r w:rsidRPr="005A7817">
        <w:rPr>
          <w:rFonts w:ascii="Segoe UI" w:eastAsia="Times New Roman" w:hAnsi="Segoe UI" w:cs="Segoe UI"/>
          <w:lang w:eastAsia="pl-PL"/>
        </w:rPr>
        <w:t xml:space="preserve"> </w:t>
      </w:r>
      <w:proofErr w:type="spellStart"/>
      <w:r w:rsidRPr="005A7817">
        <w:rPr>
          <w:rFonts w:ascii="Segoe UI" w:eastAsia="Times New Roman" w:hAnsi="Segoe UI" w:cs="Segoe UI"/>
          <w:lang w:eastAsia="pl-PL"/>
        </w:rPr>
        <w:t>Deeplai</w:t>
      </w:r>
      <w:proofErr w:type="spellEnd"/>
      <w:r w:rsidRPr="005A7817">
        <w:rPr>
          <w:rFonts w:ascii="Segoe UI" w:eastAsia="Times New Roman" w:hAnsi="Segoe UI" w:cs="Segoe UI"/>
          <w:lang w:eastAsia="pl-PL"/>
        </w:rPr>
        <w:t xml:space="preserve"> PSA pokaż</w:t>
      </w:r>
      <w:r>
        <w:rPr>
          <w:rFonts w:ascii="Segoe UI" w:eastAsia="Times New Roman" w:hAnsi="Segoe UI" w:cs="Segoe UI"/>
          <w:lang w:eastAsia="pl-PL"/>
        </w:rPr>
        <w:t>e</w:t>
      </w:r>
      <w:r w:rsidRPr="005A7817">
        <w:rPr>
          <w:rFonts w:ascii="Segoe UI" w:eastAsia="Times New Roman" w:hAnsi="Segoe UI" w:cs="Segoe UI"/>
          <w:lang w:eastAsia="pl-PL"/>
        </w:rPr>
        <w:t>, w jaki sposób zgodność z przepisami może stać się realną przewagą strategiczną, zapewniając przejrzystość i wiarygodność danych w całym łańcuchu dostaw.</w:t>
      </w:r>
    </w:p>
    <w:p w:rsidR="00C725BB" w:rsidRPr="005A7817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5A7817">
        <w:rPr>
          <w:rFonts w:ascii="Segoe UI" w:eastAsia="Times New Roman" w:hAnsi="Segoe UI" w:cs="Segoe UI"/>
          <w:lang w:eastAsia="pl-PL"/>
        </w:rPr>
        <w:t xml:space="preserve">Program pierwszego dnia obejmie także zagadnienia związane z komercyjnym </w:t>
      </w:r>
      <w:r w:rsidRPr="005A7817">
        <w:rPr>
          <w:rFonts w:ascii="Segoe UI" w:eastAsia="Times New Roman" w:hAnsi="Segoe UI" w:cs="Segoe UI"/>
          <w:b/>
          <w:lang w:eastAsia="pl-PL"/>
        </w:rPr>
        <w:t>wykorzystaniem drewnianych odpadów i pozostałości poprodukcyjnych</w:t>
      </w:r>
      <w:r w:rsidRPr="005A7817">
        <w:rPr>
          <w:rFonts w:ascii="Segoe UI" w:eastAsia="Times New Roman" w:hAnsi="Segoe UI" w:cs="Segoe UI"/>
          <w:lang w:eastAsia="pl-PL"/>
        </w:rPr>
        <w:t>. Wystąpienie prof. dr. hab. inż. Piotra Beera (SGGW) poświęcone będzie możliwościom generowania dodatkowej wartości z materiałów dotychczas uznawanych za odpady, wpisując się w szerszy kontekst gospodarki obiegu zamkniętego.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Pr="005A7817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Pr="005A7817" w:rsidRDefault="00C725BB" w:rsidP="00C725BB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A7817">
        <w:rPr>
          <w:rFonts w:ascii="Segoe UI" w:eastAsia="Times New Roman" w:hAnsi="Segoe UI" w:cs="Segoe UI"/>
          <w:b/>
          <w:bCs/>
          <w:lang w:eastAsia="pl-PL"/>
        </w:rPr>
        <w:lastRenderedPageBreak/>
        <w:t>Ekspansja zagraniczna i ochrona designu – drugi dzień targów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5A7817">
        <w:rPr>
          <w:rFonts w:ascii="Segoe UI" w:eastAsia="Times New Roman" w:hAnsi="Segoe UI" w:cs="Segoe UI"/>
          <w:lang w:eastAsia="pl-PL"/>
        </w:rPr>
        <w:t>Drugi dzień targów (25 lutego) skoncentruje się na ekspansji zagranicznej i sprzedaży cross-</w:t>
      </w:r>
      <w:proofErr w:type="spellStart"/>
      <w:r w:rsidRPr="005A7817">
        <w:rPr>
          <w:rFonts w:ascii="Segoe UI" w:eastAsia="Times New Roman" w:hAnsi="Segoe UI" w:cs="Segoe UI"/>
          <w:lang w:eastAsia="pl-PL"/>
        </w:rPr>
        <w:t>border</w:t>
      </w:r>
      <w:proofErr w:type="spellEnd"/>
      <w:r w:rsidRPr="005A7817">
        <w:rPr>
          <w:rFonts w:ascii="Segoe UI" w:eastAsia="Times New Roman" w:hAnsi="Segoe UI" w:cs="Segoe UI"/>
          <w:lang w:eastAsia="pl-PL"/>
        </w:rPr>
        <w:t xml:space="preserve">. Uczestnicy poznają możliwości </w:t>
      </w:r>
      <w:r w:rsidRPr="005A7817">
        <w:rPr>
          <w:rFonts w:ascii="Segoe UI" w:eastAsia="Times New Roman" w:hAnsi="Segoe UI" w:cs="Segoe UI"/>
          <w:b/>
          <w:lang w:eastAsia="pl-PL"/>
        </w:rPr>
        <w:t xml:space="preserve">skalowania sprzedaży poprzez </w:t>
      </w:r>
      <w:proofErr w:type="spellStart"/>
      <w:r w:rsidRPr="005A7817">
        <w:rPr>
          <w:rFonts w:ascii="Segoe UI" w:eastAsia="Times New Roman" w:hAnsi="Segoe UI" w:cs="Segoe UI"/>
          <w:b/>
          <w:lang w:eastAsia="pl-PL"/>
        </w:rPr>
        <w:t>marketplace’y</w:t>
      </w:r>
      <w:proofErr w:type="spellEnd"/>
      <w:r w:rsidRPr="005A7817">
        <w:rPr>
          <w:rFonts w:ascii="Segoe UI" w:eastAsia="Times New Roman" w:hAnsi="Segoe UI" w:cs="Segoe UI"/>
          <w:lang w:eastAsia="pl-PL"/>
        </w:rPr>
        <w:t>, w tym modele umożliwiające wejście na kilka rynków europejskich w ramach jednej rejestracji</w:t>
      </w:r>
      <w:r>
        <w:rPr>
          <w:rFonts w:ascii="Segoe UI" w:eastAsia="Times New Roman" w:hAnsi="Segoe UI" w:cs="Segoe UI"/>
          <w:lang w:eastAsia="pl-PL"/>
        </w:rPr>
        <w:t xml:space="preserve"> (prelekcja </w:t>
      </w:r>
      <w:proofErr w:type="spellStart"/>
      <w:r w:rsidRPr="005A7817">
        <w:rPr>
          <w:rFonts w:ascii="Segoe UI" w:eastAsia="Times New Roman" w:hAnsi="Segoe UI" w:cs="Segoe UI"/>
          <w:lang w:eastAsia="pl-PL"/>
        </w:rPr>
        <w:t>Kaufland</w:t>
      </w:r>
      <w:proofErr w:type="spellEnd"/>
      <w:r w:rsidRPr="005A7817">
        <w:rPr>
          <w:rFonts w:ascii="Segoe UI" w:eastAsia="Times New Roman" w:hAnsi="Segoe UI" w:cs="Segoe UI"/>
          <w:lang w:eastAsia="pl-PL"/>
        </w:rPr>
        <w:t xml:space="preserve"> Global Marketplace</w:t>
      </w:r>
      <w:r>
        <w:rPr>
          <w:rFonts w:ascii="Segoe UI" w:eastAsia="Times New Roman" w:hAnsi="Segoe UI" w:cs="Segoe UI"/>
          <w:lang w:eastAsia="pl-PL"/>
        </w:rPr>
        <w:t xml:space="preserve">) </w:t>
      </w:r>
      <w:r w:rsidRPr="005A7817">
        <w:rPr>
          <w:rFonts w:ascii="Segoe UI" w:eastAsia="Times New Roman" w:hAnsi="Segoe UI" w:cs="Segoe UI"/>
          <w:lang w:eastAsia="pl-PL"/>
        </w:rPr>
        <w:t>.</w:t>
      </w:r>
    </w:p>
    <w:p w:rsidR="00C725BB" w:rsidRPr="005A7817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4D4DE2">
        <w:rPr>
          <w:rFonts w:ascii="Segoe UI" w:eastAsia="Times New Roman" w:hAnsi="Segoe UI" w:cs="Segoe UI"/>
          <w:lang w:eastAsia="pl-PL"/>
        </w:rPr>
        <w:t xml:space="preserve">Szczególna uwaga poświęcona zostanie </w:t>
      </w:r>
      <w:r w:rsidRPr="004D4DE2">
        <w:rPr>
          <w:rFonts w:ascii="Segoe UI" w:eastAsia="Times New Roman" w:hAnsi="Segoe UI" w:cs="Segoe UI"/>
          <w:b/>
          <w:lang w:eastAsia="pl-PL"/>
        </w:rPr>
        <w:t>rynkowi rumuńskiemu</w:t>
      </w:r>
      <w:r w:rsidRPr="004D4DE2">
        <w:rPr>
          <w:rFonts w:ascii="Segoe UI" w:eastAsia="Times New Roman" w:hAnsi="Segoe UI" w:cs="Segoe UI"/>
          <w:lang w:eastAsia="pl-PL"/>
        </w:rPr>
        <w:t xml:space="preserve"> – jednemu z najszybciej rosnących rynków e-commerce w regionie. Eksperci </w:t>
      </w:r>
      <w:r>
        <w:rPr>
          <w:rFonts w:ascii="Segoe UI" w:eastAsia="Times New Roman" w:hAnsi="Segoe UI" w:cs="Segoe UI"/>
          <w:lang w:eastAsia="pl-PL"/>
        </w:rPr>
        <w:t xml:space="preserve">z Romania Express, Olimp Marketplace i </w:t>
      </w:r>
      <w:proofErr w:type="spellStart"/>
      <w:r>
        <w:rPr>
          <w:rFonts w:ascii="Segoe UI" w:eastAsia="Times New Roman" w:hAnsi="Segoe UI" w:cs="Segoe UI"/>
          <w:lang w:eastAsia="pl-PL"/>
        </w:rPr>
        <w:t>Numbers</w:t>
      </w:r>
      <w:proofErr w:type="spellEnd"/>
      <w:r>
        <w:rPr>
          <w:rFonts w:ascii="Segoe UI" w:eastAsia="Times New Roman" w:hAnsi="Segoe UI" w:cs="Segoe UI"/>
          <w:lang w:eastAsia="pl-PL"/>
        </w:rPr>
        <w:t xml:space="preserve"> &amp; </w:t>
      </w:r>
      <w:proofErr w:type="spellStart"/>
      <w:r>
        <w:rPr>
          <w:rFonts w:ascii="Segoe UI" w:eastAsia="Times New Roman" w:hAnsi="Segoe UI" w:cs="Segoe UI"/>
          <w:lang w:eastAsia="pl-PL"/>
        </w:rPr>
        <w:t>Intuition</w:t>
      </w:r>
      <w:proofErr w:type="spellEnd"/>
      <w:r>
        <w:rPr>
          <w:rFonts w:ascii="Segoe UI" w:eastAsia="Times New Roman" w:hAnsi="Segoe UI" w:cs="Segoe UI"/>
          <w:lang w:eastAsia="pl-PL"/>
        </w:rPr>
        <w:t xml:space="preserve"> oraz </w:t>
      </w:r>
      <w:proofErr w:type="spellStart"/>
      <w:r>
        <w:rPr>
          <w:rFonts w:ascii="Segoe UI" w:eastAsia="Times New Roman" w:hAnsi="Segoe UI" w:cs="Segoe UI"/>
          <w:lang w:eastAsia="pl-PL"/>
        </w:rPr>
        <w:t>Ecommerce.Legal</w:t>
      </w:r>
      <w:proofErr w:type="spellEnd"/>
      <w:r>
        <w:rPr>
          <w:rFonts w:ascii="Segoe UI" w:eastAsia="Times New Roman" w:hAnsi="Segoe UI" w:cs="Segoe UI"/>
          <w:lang w:eastAsia="pl-PL"/>
        </w:rPr>
        <w:t xml:space="preserve"> </w:t>
      </w:r>
      <w:r w:rsidRPr="004D4DE2">
        <w:rPr>
          <w:rFonts w:ascii="Segoe UI" w:eastAsia="Times New Roman" w:hAnsi="Segoe UI" w:cs="Segoe UI"/>
          <w:lang w:eastAsia="pl-PL"/>
        </w:rPr>
        <w:t xml:space="preserve">omówią najważniejsze kanały sprzedaży, oczekiwania lokalnych klientów, znaczenie logistyki i płatności za pobraniem dla konwersji, a także kluczowe wymogi prawne związane z działalnością online. Program uzupełnią zagadnienia dotyczące sprzedaży poprzez </w:t>
      </w:r>
      <w:proofErr w:type="spellStart"/>
      <w:r w:rsidRPr="004D4DE2">
        <w:rPr>
          <w:rFonts w:ascii="Segoe UI" w:eastAsia="Times New Roman" w:hAnsi="Segoe UI" w:cs="Segoe UI"/>
          <w:lang w:eastAsia="pl-PL"/>
        </w:rPr>
        <w:t>marketplace’y</w:t>
      </w:r>
      <w:proofErr w:type="spellEnd"/>
      <w:r w:rsidRPr="004D4DE2">
        <w:rPr>
          <w:rFonts w:ascii="Segoe UI" w:eastAsia="Times New Roman" w:hAnsi="Segoe UI" w:cs="Segoe UI"/>
          <w:lang w:eastAsia="pl-PL"/>
        </w:rPr>
        <w:t xml:space="preserve">, wykorzystania </w:t>
      </w:r>
      <w:proofErr w:type="spellStart"/>
      <w:r w:rsidRPr="004D4DE2">
        <w:rPr>
          <w:rFonts w:ascii="Segoe UI" w:eastAsia="Times New Roman" w:hAnsi="Segoe UI" w:cs="Segoe UI"/>
          <w:lang w:eastAsia="pl-PL"/>
        </w:rPr>
        <w:t>social</w:t>
      </w:r>
      <w:proofErr w:type="spellEnd"/>
      <w:r w:rsidRPr="004D4DE2">
        <w:rPr>
          <w:rFonts w:ascii="Segoe UI" w:eastAsia="Times New Roman" w:hAnsi="Segoe UI" w:cs="Segoe UI"/>
          <w:lang w:eastAsia="pl-PL"/>
        </w:rPr>
        <w:t xml:space="preserve"> mediów oraz minimalizowania </w:t>
      </w:r>
      <w:proofErr w:type="spellStart"/>
      <w:r w:rsidRPr="004D4DE2">
        <w:rPr>
          <w:rFonts w:ascii="Segoe UI" w:eastAsia="Times New Roman" w:hAnsi="Segoe UI" w:cs="Segoe UI"/>
          <w:lang w:eastAsia="pl-PL"/>
        </w:rPr>
        <w:t>ryzyk</w:t>
      </w:r>
      <w:proofErr w:type="spellEnd"/>
      <w:r w:rsidRPr="004D4DE2">
        <w:rPr>
          <w:rFonts w:ascii="Segoe UI" w:eastAsia="Times New Roman" w:hAnsi="Segoe UI" w:cs="Segoe UI"/>
          <w:lang w:eastAsia="pl-PL"/>
        </w:rPr>
        <w:t xml:space="preserve"> prawnych przy ekspansji</w:t>
      </w:r>
      <w:r>
        <w:rPr>
          <w:rFonts w:ascii="Segoe UI" w:eastAsia="Times New Roman" w:hAnsi="Segoe UI" w:cs="Segoe UI"/>
          <w:lang w:eastAsia="pl-PL"/>
        </w:rPr>
        <w:t xml:space="preserve"> na rynek rumuński</w:t>
      </w:r>
      <w:r w:rsidRPr="004D4DE2">
        <w:rPr>
          <w:rFonts w:ascii="Segoe UI" w:eastAsia="Times New Roman" w:hAnsi="Segoe UI" w:cs="Segoe UI"/>
          <w:lang w:eastAsia="pl-PL"/>
        </w:rPr>
        <w:t xml:space="preserve">. 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5A7817">
        <w:rPr>
          <w:rFonts w:ascii="Segoe UI" w:eastAsia="Times New Roman" w:hAnsi="Segoe UI" w:cs="Segoe UI"/>
          <w:lang w:eastAsia="pl-PL"/>
        </w:rPr>
        <w:t xml:space="preserve">Ważnym punktem dnia będzie również prezentacja raportu </w:t>
      </w:r>
      <w:r>
        <w:rPr>
          <w:rFonts w:ascii="Segoe UI" w:eastAsia="Times New Roman" w:hAnsi="Segoe UI" w:cs="Segoe UI"/>
          <w:b/>
          <w:lang w:eastAsia="pl-PL"/>
        </w:rPr>
        <w:t>Polskie Meble Outlook 2026</w:t>
      </w:r>
      <w:r w:rsidRPr="005A7817">
        <w:rPr>
          <w:rFonts w:ascii="Segoe UI" w:eastAsia="Times New Roman" w:hAnsi="Segoe UI" w:cs="Segoe UI"/>
          <w:b/>
          <w:lang w:eastAsia="pl-PL"/>
        </w:rPr>
        <w:t>,</w:t>
      </w:r>
      <w:r w:rsidRPr="005A7817">
        <w:rPr>
          <w:rFonts w:ascii="Segoe UI" w:eastAsia="Times New Roman" w:hAnsi="Segoe UI" w:cs="Segoe UI"/>
          <w:lang w:eastAsia="pl-PL"/>
        </w:rPr>
        <w:t xml:space="preserve"> przygotowane</w:t>
      </w:r>
      <w:r>
        <w:rPr>
          <w:rFonts w:ascii="Segoe UI" w:eastAsia="Times New Roman" w:hAnsi="Segoe UI" w:cs="Segoe UI"/>
          <w:lang w:eastAsia="pl-PL"/>
        </w:rPr>
        <w:t>go przez analityków B+R Studio. Tomasz Wiktorski</w:t>
      </w:r>
      <w:r w:rsidRPr="004D4DE2">
        <w:rPr>
          <w:rFonts w:ascii="Segoe UI" w:eastAsia="Times New Roman" w:hAnsi="Segoe UI" w:cs="Segoe UI"/>
          <w:lang w:eastAsia="pl-PL"/>
        </w:rPr>
        <w:t xml:space="preserve"> przedstawi najważniejsze trendy rynkowe, prognozy dla branży oraz kierunki rozwoju sektora meblarskiego w nadchodzących miesiącach.</w:t>
      </w:r>
    </w:p>
    <w:p w:rsidR="00C725BB" w:rsidRPr="005A7817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Tomasz Wiktorski wygłosi także prelekcję</w:t>
      </w:r>
      <w:r w:rsidRPr="005A7817">
        <w:rPr>
          <w:rFonts w:ascii="Segoe UI" w:eastAsia="Times New Roman" w:hAnsi="Segoe UI" w:cs="Segoe UI"/>
          <w:lang w:eastAsia="pl-PL"/>
        </w:rPr>
        <w:t xml:space="preserve"> </w:t>
      </w:r>
      <w:r w:rsidRPr="005A7817">
        <w:rPr>
          <w:rFonts w:ascii="Segoe UI" w:eastAsia="Times New Roman" w:hAnsi="Segoe UI" w:cs="Segoe UI"/>
          <w:b/>
          <w:lang w:eastAsia="pl-PL"/>
        </w:rPr>
        <w:t xml:space="preserve">Zbuduj nowoczesny zespół pracowników – możliwości Branżowego Centrum Umiejętności w </w:t>
      </w:r>
      <w:proofErr w:type="spellStart"/>
      <w:r w:rsidRPr="005A7817">
        <w:rPr>
          <w:rFonts w:ascii="Segoe UI" w:eastAsia="Times New Roman" w:hAnsi="Segoe UI" w:cs="Segoe UI"/>
          <w:b/>
          <w:lang w:eastAsia="pl-PL"/>
        </w:rPr>
        <w:t>Różanymstoku</w:t>
      </w:r>
      <w:proofErr w:type="spellEnd"/>
      <w:r w:rsidRPr="005A7817">
        <w:rPr>
          <w:rFonts w:ascii="Segoe UI" w:eastAsia="Times New Roman" w:hAnsi="Segoe UI" w:cs="Segoe UI"/>
          <w:lang w:eastAsia="pl-PL"/>
        </w:rPr>
        <w:t>.</w:t>
      </w:r>
      <w:r w:rsidRPr="004D4DE2">
        <w:rPr>
          <w:rFonts w:ascii="Segoe UI" w:eastAsia="Times New Roman" w:hAnsi="Segoe UI" w:cs="Segoe UI"/>
          <w:lang w:eastAsia="pl-PL"/>
        </w:rPr>
        <w:t xml:space="preserve"> W jej trakcie przedstawi</w:t>
      </w:r>
      <w:r w:rsidRPr="005A7817">
        <w:rPr>
          <w:rFonts w:ascii="Segoe UI" w:eastAsia="Times New Roman" w:hAnsi="Segoe UI" w:cs="Segoe UI"/>
          <w:lang w:eastAsia="pl-PL"/>
        </w:rPr>
        <w:t xml:space="preserve">, w jaki sposób </w:t>
      </w:r>
      <w:r>
        <w:rPr>
          <w:rFonts w:ascii="Segoe UI" w:eastAsia="Times New Roman" w:hAnsi="Segoe UI" w:cs="Segoe UI"/>
          <w:lang w:eastAsia="pl-PL"/>
        </w:rPr>
        <w:t>BCU</w:t>
      </w:r>
      <w:r w:rsidRPr="005A7817">
        <w:rPr>
          <w:rFonts w:ascii="Segoe UI" w:eastAsia="Times New Roman" w:hAnsi="Segoe UI" w:cs="Segoe UI"/>
          <w:lang w:eastAsia="pl-PL"/>
        </w:rPr>
        <w:t xml:space="preserve"> może wspierać rozwój wykwalifikowanych kadr, gotowych pracować z nowoczesnymi technologiami i odpowiadać na dynamiczne zmiany w przemyśle meblarskim.</w:t>
      </w:r>
    </w:p>
    <w:p w:rsidR="00C725BB" w:rsidRPr="005A7817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5A7817">
        <w:rPr>
          <w:rFonts w:ascii="Segoe UI" w:eastAsia="Times New Roman" w:hAnsi="Segoe UI" w:cs="Segoe UI"/>
          <w:lang w:eastAsia="pl-PL"/>
        </w:rPr>
        <w:t>Program drugiego dnia obejmie również temat ochrony wzornictwa i własności int</w:t>
      </w:r>
      <w:r>
        <w:rPr>
          <w:rFonts w:ascii="Segoe UI" w:eastAsia="Times New Roman" w:hAnsi="Segoe UI" w:cs="Segoe UI"/>
          <w:lang w:eastAsia="pl-PL"/>
        </w:rPr>
        <w:t xml:space="preserve">elektualnej. Podczas prelekcji </w:t>
      </w:r>
      <w:r w:rsidRPr="005A7817">
        <w:rPr>
          <w:rFonts w:ascii="Segoe UI" w:eastAsia="Times New Roman" w:hAnsi="Segoe UI" w:cs="Segoe UI"/>
          <w:b/>
          <w:lang w:eastAsia="pl-PL"/>
        </w:rPr>
        <w:t>Jak (nie)po</w:t>
      </w:r>
      <w:r w:rsidRPr="004D4DE2">
        <w:rPr>
          <w:rFonts w:ascii="Segoe UI" w:eastAsia="Times New Roman" w:hAnsi="Segoe UI" w:cs="Segoe UI"/>
          <w:b/>
          <w:lang w:eastAsia="pl-PL"/>
        </w:rPr>
        <w:t>drabiać i nie dać się podrobić?</w:t>
      </w:r>
      <w:r w:rsidRPr="005A7817">
        <w:rPr>
          <w:rFonts w:ascii="Segoe UI" w:eastAsia="Times New Roman" w:hAnsi="Segoe UI" w:cs="Segoe UI"/>
          <w:lang w:eastAsia="pl-PL"/>
        </w:rPr>
        <w:t xml:space="preserve"> eksperci z Kancelarii DSK – Karol Olejnik i Wiktor Dzięcioł – omówią praktyczne narzędzia ochrony kolekcji meblarskich przed kopiowaniem oraz wskażą, gdzie przebiega granica między dopuszczalną inspiracją a plagiatem.</w:t>
      </w:r>
    </w:p>
    <w:p w:rsidR="00C725BB" w:rsidRPr="005A7817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Pr="005A7817" w:rsidRDefault="00C725BB" w:rsidP="00C725BB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A7817">
        <w:rPr>
          <w:rFonts w:ascii="Segoe UI" w:eastAsia="Times New Roman" w:hAnsi="Segoe UI" w:cs="Segoe UI"/>
          <w:b/>
          <w:bCs/>
          <w:lang w:eastAsia="pl-PL"/>
        </w:rPr>
        <w:t>Sprzedaż wielokanałowa, odporność i skuteczność – trzeci dzień targów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335DAB">
        <w:rPr>
          <w:rFonts w:ascii="Segoe UI" w:eastAsia="Times New Roman" w:hAnsi="Segoe UI" w:cs="Segoe UI"/>
          <w:lang w:eastAsia="pl-PL"/>
        </w:rPr>
        <w:t>Ostatni dzień targów (26 lutego) poświęcony będzie trendom sprzedażowym oraz rozwojowi kompetencji menedżerskich i osobistych. Program otworzy wykład i ekspercki panel dyskusyjny „</w:t>
      </w:r>
      <w:r w:rsidRPr="00335DAB">
        <w:rPr>
          <w:rFonts w:ascii="Segoe UI" w:eastAsia="Times New Roman" w:hAnsi="Segoe UI" w:cs="Segoe UI"/>
          <w:b/>
          <w:lang w:eastAsia="pl-PL"/>
        </w:rPr>
        <w:t>Trendy w sprzedaży internetowej w branży meblowej</w:t>
      </w:r>
      <w:r w:rsidRPr="00335DAB">
        <w:rPr>
          <w:rFonts w:ascii="Segoe UI" w:eastAsia="Times New Roman" w:hAnsi="Segoe UI" w:cs="Segoe UI"/>
          <w:lang w:eastAsia="pl-PL"/>
        </w:rPr>
        <w:t xml:space="preserve">”, podczas którego uczestnicy poznają sposoby lepszego dopasowania działań sprzedażowych do zmieniających się </w:t>
      </w:r>
      <w:proofErr w:type="spellStart"/>
      <w:r w:rsidRPr="00335DAB">
        <w:rPr>
          <w:rFonts w:ascii="Segoe UI" w:eastAsia="Times New Roman" w:hAnsi="Segoe UI" w:cs="Segoe UI"/>
          <w:lang w:eastAsia="pl-PL"/>
        </w:rPr>
        <w:t>zachowań</w:t>
      </w:r>
      <w:proofErr w:type="spellEnd"/>
      <w:r w:rsidRPr="00335DAB">
        <w:rPr>
          <w:rFonts w:ascii="Segoe UI" w:eastAsia="Times New Roman" w:hAnsi="Segoe UI" w:cs="Segoe UI"/>
          <w:lang w:eastAsia="pl-PL"/>
        </w:rPr>
        <w:t xml:space="preserve"> klientów, w tym w kontekście sprzedaży cross-</w:t>
      </w:r>
      <w:proofErr w:type="spellStart"/>
      <w:r w:rsidRPr="00335DAB">
        <w:rPr>
          <w:rFonts w:ascii="Segoe UI" w:eastAsia="Times New Roman" w:hAnsi="Segoe UI" w:cs="Segoe UI"/>
          <w:lang w:eastAsia="pl-PL"/>
        </w:rPr>
        <w:t>border</w:t>
      </w:r>
      <w:proofErr w:type="spellEnd"/>
      <w:r w:rsidRPr="00335DAB">
        <w:rPr>
          <w:rFonts w:ascii="Segoe UI" w:eastAsia="Times New Roman" w:hAnsi="Segoe UI" w:cs="Segoe UI"/>
          <w:lang w:eastAsia="pl-PL"/>
        </w:rPr>
        <w:t xml:space="preserve"> oraz e-commerce B2B.</w:t>
      </w:r>
    </w:p>
    <w:p w:rsidR="00C725BB" w:rsidRPr="00335DA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335DAB">
        <w:rPr>
          <w:rFonts w:ascii="Segoe UI" w:eastAsia="Times New Roman" w:hAnsi="Segoe UI" w:cs="Segoe UI"/>
          <w:lang w:eastAsia="pl-PL"/>
        </w:rPr>
        <w:t xml:space="preserve">Kolejne wystąpienie skoncentruje się na </w:t>
      </w:r>
      <w:r w:rsidRPr="00335DAB">
        <w:rPr>
          <w:rFonts w:ascii="Segoe UI" w:eastAsia="Times New Roman" w:hAnsi="Segoe UI" w:cs="Segoe UI"/>
          <w:b/>
          <w:lang w:eastAsia="pl-PL"/>
        </w:rPr>
        <w:t>konkurencyjności stacjonarnych sklepów meblowych w realiach sprzedaży wielokanałowej</w:t>
      </w:r>
      <w:r w:rsidRPr="00335DAB">
        <w:rPr>
          <w:rFonts w:ascii="Segoe UI" w:eastAsia="Times New Roman" w:hAnsi="Segoe UI" w:cs="Segoe UI"/>
          <w:lang w:eastAsia="pl-PL"/>
        </w:rPr>
        <w:t>, pokazując, jak skutecznie wykorzystywać swoje mocne strony i łąc</w:t>
      </w:r>
      <w:r>
        <w:rPr>
          <w:rFonts w:ascii="Segoe UI" w:eastAsia="Times New Roman" w:hAnsi="Segoe UI" w:cs="Segoe UI"/>
          <w:lang w:eastAsia="pl-PL"/>
        </w:rPr>
        <w:t xml:space="preserve">zyć kanały online oraz offline. </w:t>
      </w:r>
      <w:r w:rsidRPr="00335DAB">
        <w:rPr>
          <w:rFonts w:ascii="Segoe UI" w:eastAsia="Times New Roman" w:hAnsi="Segoe UI" w:cs="Segoe UI"/>
          <w:lang w:eastAsia="pl-PL"/>
        </w:rPr>
        <w:t>Program dnia uzupełnią wykłady poświęcone rozwojowi osobistemu i odporności psychicznej, obejmujące zagadnienia budowania pewności siebie oraz radzenia sobie ze stresem w czasach rosnących wyzwań rynkowych.</w:t>
      </w:r>
    </w:p>
    <w:p w:rsidR="00C725BB" w:rsidRPr="00335DA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Cykl szkoleń</w:t>
      </w:r>
      <w:r w:rsidRPr="00335DAB">
        <w:rPr>
          <w:rFonts w:ascii="Segoe UI" w:eastAsia="Times New Roman" w:hAnsi="Segoe UI" w:cs="Segoe UI"/>
          <w:lang w:eastAsia="pl-PL"/>
        </w:rPr>
        <w:t xml:space="preserve"> zakończy prelekcja poświęcona skutecznemu </w:t>
      </w:r>
      <w:r w:rsidRPr="00C725BB">
        <w:rPr>
          <w:rFonts w:ascii="Segoe UI" w:eastAsia="Times New Roman" w:hAnsi="Segoe UI" w:cs="Segoe UI"/>
          <w:b/>
          <w:lang w:eastAsia="pl-PL"/>
        </w:rPr>
        <w:t>wykorzystaniu targów jako narzędzia pozyskiwania klientów na rynkach zagranicznych</w:t>
      </w:r>
      <w:r w:rsidRPr="00335DAB">
        <w:rPr>
          <w:rFonts w:ascii="Segoe UI" w:eastAsia="Times New Roman" w:hAnsi="Segoe UI" w:cs="Segoe UI"/>
          <w:lang w:eastAsia="pl-PL"/>
        </w:rPr>
        <w:t>, prezentująca dobre praktyki przygotowania do udziału w międzynarodowych wydarzeniach targowych i maksymalizacji ich efektów biznesowych.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Pr="00335DAB" w:rsidRDefault="00C725BB" w:rsidP="00C725BB">
      <w:pPr>
        <w:spacing w:after="0" w:line="240" w:lineRule="auto"/>
        <w:rPr>
          <w:rFonts w:ascii="Segoe UI" w:eastAsia="Times New Roman" w:hAnsi="Segoe UI" w:cs="Segoe UI"/>
          <w:b/>
          <w:lang w:eastAsia="pl-PL"/>
        </w:rPr>
      </w:pPr>
      <w:r w:rsidRPr="00335DAB">
        <w:rPr>
          <w:rFonts w:ascii="Segoe UI" w:eastAsia="Times New Roman" w:hAnsi="Segoe UI" w:cs="Segoe UI"/>
          <w:b/>
          <w:lang w:eastAsia="pl-PL"/>
        </w:rPr>
        <w:lastRenderedPageBreak/>
        <w:t>W którym momencie cyklu jesteśmy? – raport Banku Pekao SA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335DAB">
        <w:rPr>
          <w:rFonts w:ascii="Segoe UI" w:eastAsia="Times New Roman" w:hAnsi="Segoe UI" w:cs="Segoe UI"/>
          <w:lang w:eastAsia="pl-PL"/>
        </w:rPr>
        <w:t>Program trzeciego dnia targów uzupełni również prelekcja poświęcona aktualnej kondycji i perspektywom rozwoju branży meblarskiej. Wystąpienie „Branża meblarska: w którym momencie cyklu jesteśmy, dokąd zmierzamy?” odniesie się do wyzwań, z jakimi sektor mierzył się w ostatnich latach – spadków produkcji, presji kosztowej oraz erozji rentowności, które postawiły wiele firm w trudnej sytuacji rynkowej.</w:t>
      </w:r>
    </w:p>
    <w:p w:rsidR="00C725BB" w:rsidRPr="00335DA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335DAB">
        <w:rPr>
          <w:rFonts w:ascii="Segoe UI" w:eastAsia="Times New Roman" w:hAnsi="Segoe UI" w:cs="Segoe UI"/>
          <w:lang w:eastAsia="pl-PL"/>
        </w:rPr>
        <w:t>Prezentacja pokaże jednocześnie coraz wyraźniejsze sygnały wychodzenia z dekoniunktury, widoczne zarówno w danych branżowych, jak i w otoczeniu makroekonomicznym. Malejąca inflacja, poprawiające się prognozy gospodarcze oraz odbudowujący się popyt na rynkach eksportowych tworzą podstawy do umiarkowanego optymizmu i bardziej dynamicznego wzrostu w nadchodzących kwartałach. W trakcie prelekcji omówione zostaną najnowsze dane z rynku, kluczowe wyzwania stojące przed producentami oraz perspektywy branży meblarskiej na 2026 rok.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5A7817">
        <w:rPr>
          <w:rFonts w:ascii="Segoe UI" w:eastAsia="Times New Roman" w:hAnsi="Segoe UI" w:cs="Segoe UI"/>
          <w:lang w:eastAsia="pl-PL"/>
        </w:rPr>
        <w:t>Bogaty program</w:t>
      </w:r>
      <w:r>
        <w:rPr>
          <w:rFonts w:ascii="Segoe UI" w:eastAsia="Times New Roman" w:hAnsi="Segoe UI" w:cs="Segoe UI"/>
          <w:lang w:eastAsia="pl-PL"/>
        </w:rPr>
        <w:t xml:space="preserve"> merytoryczny MEBLE POLSKA 2026 przygotowany przez Grupę MTP we współpracy z Ogólnopolską Izbą Gospodarczą Producentów Mebli </w:t>
      </w:r>
      <w:r w:rsidRPr="005A7817">
        <w:rPr>
          <w:rFonts w:ascii="Segoe UI" w:eastAsia="Times New Roman" w:hAnsi="Segoe UI" w:cs="Segoe UI"/>
          <w:lang w:eastAsia="pl-PL"/>
        </w:rPr>
        <w:t>potwierdza rolę targów jako platformy wymiany wiedzy i doświadczeń dla branży meblarskiej, łączącej wyzwania regulacyjne, sprzedażowe i kadrowe z praktycznymi rozwiązaniami wspierającymi rozwój firm w Polsce i na rynkach międzynarodowych.</w:t>
      </w:r>
    </w:p>
    <w:p w:rsidR="00C725BB" w:rsidRDefault="00C725BB" w:rsidP="00C725BB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6350CD" w:rsidRDefault="00C725BB" w:rsidP="006350CD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 xml:space="preserve">Dla uczestników Targów MEBLE POLSKA 2026 </w:t>
      </w:r>
      <w:r w:rsidRPr="00C725BB">
        <w:rPr>
          <w:rFonts w:ascii="Segoe UI" w:eastAsia="Times New Roman" w:hAnsi="Segoe UI" w:cs="Segoe UI"/>
          <w:b/>
          <w:lang w:eastAsia="pl-PL"/>
        </w:rPr>
        <w:t>udział</w:t>
      </w:r>
      <w:r>
        <w:rPr>
          <w:rFonts w:ascii="Segoe UI" w:eastAsia="Times New Roman" w:hAnsi="Segoe UI" w:cs="Segoe UI"/>
          <w:lang w:eastAsia="pl-PL"/>
        </w:rPr>
        <w:t xml:space="preserve"> we wszystkich prelekcjach jest </w:t>
      </w:r>
      <w:r w:rsidRPr="00C725BB">
        <w:rPr>
          <w:rFonts w:ascii="Segoe UI" w:eastAsia="Times New Roman" w:hAnsi="Segoe UI" w:cs="Segoe UI"/>
          <w:b/>
          <w:lang w:eastAsia="pl-PL"/>
        </w:rPr>
        <w:t>bezpłatny</w:t>
      </w:r>
      <w:r>
        <w:rPr>
          <w:rFonts w:ascii="Segoe UI" w:eastAsia="Times New Roman" w:hAnsi="Segoe UI" w:cs="Segoe UI"/>
          <w:lang w:eastAsia="pl-PL"/>
        </w:rPr>
        <w:t>.</w:t>
      </w:r>
    </w:p>
    <w:p w:rsidR="006350CD" w:rsidRDefault="006350CD" w:rsidP="006350CD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6350CD" w:rsidRDefault="00CD7538" w:rsidP="006350CD">
      <w:pPr>
        <w:spacing w:after="0" w:line="240" w:lineRule="auto"/>
        <w:rPr>
          <w:rStyle w:val="Hipercze"/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Sprawdź </w:t>
      </w:r>
      <w:hyperlink r:id="rId7" w:history="1">
        <w:r w:rsidRPr="00CD7538">
          <w:rPr>
            <w:rStyle w:val="Hipercze"/>
            <w:rFonts w:ascii="Segoe UI" w:hAnsi="Segoe UI" w:cs="Segoe UI"/>
            <w:b/>
          </w:rPr>
          <w:t>program targów MEBLE POLSKA 2026 &gt;&gt;&gt;</w:t>
        </w:r>
      </w:hyperlink>
    </w:p>
    <w:p w:rsidR="006350CD" w:rsidRDefault="006350CD" w:rsidP="006350CD">
      <w:pPr>
        <w:spacing w:after="0" w:line="240" w:lineRule="auto"/>
        <w:rPr>
          <w:rFonts w:ascii="Segoe UI" w:hAnsi="Segoe UI" w:cs="Segoe UI"/>
          <w:b/>
        </w:rPr>
      </w:pPr>
    </w:p>
    <w:p w:rsidR="006350CD" w:rsidRPr="006350CD" w:rsidRDefault="006350CD" w:rsidP="006350CD">
      <w:pPr>
        <w:spacing w:after="0" w:line="240" w:lineRule="auto"/>
        <w:rPr>
          <w:rFonts w:ascii="Segoe UI" w:hAnsi="Segoe UI" w:cs="Segoe UI"/>
          <w:b/>
        </w:rPr>
      </w:pPr>
      <w:r w:rsidRPr="006350CD">
        <w:rPr>
          <w:rFonts w:ascii="Segoe UI" w:hAnsi="Segoe UI" w:cs="Segoe UI"/>
          <w:b/>
        </w:rPr>
        <w:t>O targach MEBLE POLSKA 2026</w:t>
      </w:r>
    </w:p>
    <w:p w:rsidR="006350CD" w:rsidRDefault="006350CD" w:rsidP="006350CD">
      <w:pPr>
        <w:spacing w:after="0" w:line="240" w:lineRule="auto"/>
        <w:rPr>
          <w:rFonts w:ascii="Segoe UI" w:hAnsi="Segoe UI" w:cs="Segoe UI"/>
        </w:rPr>
      </w:pPr>
      <w:r w:rsidRPr="006350CD">
        <w:rPr>
          <w:rFonts w:ascii="Segoe UI" w:hAnsi="Segoe UI" w:cs="Segoe UI"/>
        </w:rPr>
        <w:t>Targi MEBLE POLSKA 2026, które odbędą się w dniach 24–27 lutego w Poznaniu, należą do najważniejszych wydarzeń kontraktacyjnych branży meblarskiej w Europie. Ekspozycja obejmie 10 pawilonów, a swoją ofertę zaprezentuje blisko 400 firm i marek z Polski oraz zagranicy, prezentujących pełne spektrum asortymentu – od mebli tapicerowanych i skrzyniowych po kompleksowe rozwiązania wyposażenia wnętrz.</w:t>
      </w:r>
    </w:p>
    <w:p w:rsidR="006350CD" w:rsidRPr="006350CD" w:rsidRDefault="006350CD" w:rsidP="006350CD">
      <w:pPr>
        <w:spacing w:after="0" w:line="240" w:lineRule="auto"/>
        <w:rPr>
          <w:rFonts w:ascii="Segoe UI" w:hAnsi="Segoe UI" w:cs="Segoe UI"/>
        </w:rPr>
      </w:pPr>
    </w:p>
    <w:p w:rsidR="006350CD" w:rsidRDefault="006350CD" w:rsidP="006350CD">
      <w:pPr>
        <w:spacing w:after="0" w:line="240" w:lineRule="auto"/>
        <w:rPr>
          <w:rFonts w:ascii="Segoe UI" w:hAnsi="Segoe UI" w:cs="Segoe UI"/>
        </w:rPr>
      </w:pPr>
      <w:r w:rsidRPr="006350CD">
        <w:rPr>
          <w:rFonts w:ascii="Segoe UI" w:hAnsi="Segoe UI" w:cs="Segoe UI"/>
        </w:rPr>
        <w:t>Wydarzenie tradycyjnie wyznacza początek europejskiego sezonu handlowego i przyciąga profesjonalistów z około 70 krajów, przy czym goście zagraniczni stanowią ponad połowę zwiedzających. Silna reprezentacja polskiego przemysłu meblarskiego – jednego z największych eksporterów mebli na świecie – w połączeniu z rosnącym udziałem wystawców międzynarodowych nadaje targom globalny charakter.</w:t>
      </w:r>
    </w:p>
    <w:p w:rsidR="006350CD" w:rsidRPr="006350CD" w:rsidRDefault="006350CD" w:rsidP="006350CD">
      <w:pPr>
        <w:spacing w:after="0" w:line="240" w:lineRule="auto"/>
        <w:rPr>
          <w:rFonts w:ascii="Segoe UI" w:hAnsi="Segoe UI" w:cs="Segoe UI"/>
        </w:rPr>
      </w:pPr>
    </w:p>
    <w:p w:rsidR="006350CD" w:rsidRDefault="006350CD" w:rsidP="006350CD">
      <w:pPr>
        <w:spacing w:after="0" w:line="240" w:lineRule="auto"/>
        <w:rPr>
          <w:rFonts w:ascii="Segoe UI" w:hAnsi="Segoe UI" w:cs="Segoe UI"/>
        </w:rPr>
      </w:pPr>
      <w:r w:rsidRPr="006350CD">
        <w:rPr>
          <w:rFonts w:ascii="Segoe UI" w:hAnsi="Segoe UI" w:cs="Segoe UI"/>
        </w:rPr>
        <w:t>MEBLE POLSKA to nie tylko ekspozycja, lecz przede wszystkim skuteczne narzędzie biznesowe, gdzie zapadają decyzje zakupowe, zawierane są kontrakty i budowane długofalowe relacje handlowe na rynkach międzynarodowych.</w:t>
      </w:r>
    </w:p>
    <w:p w:rsidR="00CD7538" w:rsidRDefault="00CD7538" w:rsidP="00FE162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-----------------------------------------------</w:t>
      </w:r>
    </w:p>
    <w:p w:rsidR="00CD7538" w:rsidRDefault="00CD7538" w:rsidP="00FE162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Kontakt dla mediów</w:t>
      </w:r>
    </w:p>
    <w:p w:rsidR="00CD7538" w:rsidRPr="007017EA" w:rsidRDefault="00CD7538" w:rsidP="00FE162C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Tomasz Wojciechowski</w:t>
      </w:r>
      <w:r>
        <w:rPr>
          <w:rFonts w:ascii="Segoe UI" w:hAnsi="Segoe UI" w:cs="Segoe UI"/>
          <w:b/>
        </w:rPr>
        <w:br/>
      </w:r>
      <w:bookmarkStart w:id="0" w:name="_GoBack"/>
      <w:bookmarkEnd w:id="0"/>
      <w:r w:rsidRPr="00CD7538">
        <w:rPr>
          <w:rFonts w:ascii="Segoe UI" w:hAnsi="Segoe UI" w:cs="Segoe UI"/>
        </w:rPr>
        <w:t>691 029 293</w:t>
      </w:r>
      <w:r w:rsidRPr="00CD7538">
        <w:rPr>
          <w:rFonts w:ascii="Segoe UI" w:hAnsi="Segoe UI" w:cs="Segoe UI"/>
        </w:rPr>
        <w:br/>
      </w:r>
      <w:hyperlink r:id="rId8" w:history="1">
        <w:r w:rsidRPr="00CD7538">
          <w:rPr>
            <w:rStyle w:val="Hipercze"/>
            <w:rFonts w:ascii="Segoe UI" w:hAnsi="Segoe UI" w:cs="Segoe UI"/>
          </w:rPr>
          <w:t>tomasz.wojciechowski@grupamtp.pl</w:t>
        </w:r>
      </w:hyperlink>
      <w:r>
        <w:rPr>
          <w:rFonts w:ascii="Segoe UI" w:hAnsi="Segoe UI" w:cs="Segoe UI"/>
          <w:b/>
        </w:rPr>
        <w:t xml:space="preserve"> </w:t>
      </w:r>
    </w:p>
    <w:sectPr w:rsidR="00CD7538" w:rsidRPr="007017EA" w:rsidSect="00C725BB">
      <w:headerReference w:type="default" r:id="rId9"/>
      <w:footerReference w:type="default" r:id="rId10"/>
      <w:headerReference w:type="first" r:id="rId11"/>
      <w:type w:val="continuous"/>
      <w:pgSz w:w="11906" w:h="16838"/>
      <w:pgMar w:top="1418" w:right="1077" w:bottom="1418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07" w:rsidRDefault="00BB3107" w:rsidP="00F80242">
      <w:pPr>
        <w:spacing w:after="0" w:line="240" w:lineRule="auto"/>
      </w:pPr>
      <w:r>
        <w:separator/>
      </w:r>
    </w:p>
  </w:endnote>
  <w:end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07" w:rsidRDefault="00BB3107" w:rsidP="00F80242">
      <w:pPr>
        <w:spacing w:after="0" w:line="240" w:lineRule="auto"/>
      </w:pPr>
      <w:r>
        <w:separator/>
      </w:r>
    </w:p>
  </w:footnote>
  <w:foot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B4" w:rsidRDefault="005F3BB4">
    <w:pPr>
      <w:pStyle w:val="Nagwek"/>
    </w:pPr>
  </w:p>
  <w:p w:rsidR="005F3BB4" w:rsidRDefault="005F3BB4" w:rsidP="00CA5AC3">
    <w:pPr>
      <w:pStyle w:val="Nagwek"/>
      <w:ind w:firstLine="708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F80242" w:rsidRDefault="00F802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C4" w:rsidRDefault="00C725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F10EBCE" wp14:editId="57332922">
          <wp:simplePos x="0" y="0"/>
          <wp:positionH relativeFrom="page">
            <wp:posOffset>-26035</wp:posOffset>
          </wp:positionH>
          <wp:positionV relativeFrom="paragraph">
            <wp:posOffset>12065</wp:posOffset>
          </wp:positionV>
          <wp:extent cx="7620383" cy="10687049"/>
          <wp:effectExtent l="0" t="0" r="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383" cy="1068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42"/>
    <w:rsid w:val="000912A9"/>
    <w:rsid w:val="000B6032"/>
    <w:rsid w:val="00134147"/>
    <w:rsid w:val="00155A29"/>
    <w:rsid w:val="00162FE6"/>
    <w:rsid w:val="001F1060"/>
    <w:rsid w:val="00223EFF"/>
    <w:rsid w:val="0022603D"/>
    <w:rsid w:val="0028694E"/>
    <w:rsid w:val="003B2C93"/>
    <w:rsid w:val="003E3F16"/>
    <w:rsid w:val="00453338"/>
    <w:rsid w:val="004A15C4"/>
    <w:rsid w:val="00535FC8"/>
    <w:rsid w:val="00551BC5"/>
    <w:rsid w:val="005F3BB4"/>
    <w:rsid w:val="006350CD"/>
    <w:rsid w:val="00652446"/>
    <w:rsid w:val="00666648"/>
    <w:rsid w:val="006E7ECB"/>
    <w:rsid w:val="00700379"/>
    <w:rsid w:val="007017EA"/>
    <w:rsid w:val="00776FA1"/>
    <w:rsid w:val="0090085F"/>
    <w:rsid w:val="009D165A"/>
    <w:rsid w:val="00A73527"/>
    <w:rsid w:val="00AF48C7"/>
    <w:rsid w:val="00B30616"/>
    <w:rsid w:val="00BA1335"/>
    <w:rsid w:val="00BB3107"/>
    <w:rsid w:val="00C725BB"/>
    <w:rsid w:val="00CA5AC3"/>
    <w:rsid w:val="00CD7538"/>
    <w:rsid w:val="00D8246B"/>
    <w:rsid w:val="00DA1CAF"/>
    <w:rsid w:val="00E575C8"/>
    <w:rsid w:val="00E70AA9"/>
    <w:rsid w:val="00E70DDF"/>
    <w:rsid w:val="00F61077"/>
    <w:rsid w:val="00F80242"/>
    <w:rsid w:val="00FA1BB7"/>
    <w:rsid w:val="00FB2395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wojciechowski@grupamt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blepolska.pl/pl/program-wydarzen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Tomasz Wojciechowski</cp:lastModifiedBy>
  <cp:revision>2</cp:revision>
  <cp:lastPrinted>2025-03-03T08:31:00Z</cp:lastPrinted>
  <dcterms:created xsi:type="dcterms:W3CDTF">2026-02-11T12:02:00Z</dcterms:created>
  <dcterms:modified xsi:type="dcterms:W3CDTF">2026-02-11T12:02:00Z</dcterms:modified>
</cp:coreProperties>
</file>